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F10B" w14:textId="77777777" w:rsidR="00CF5679" w:rsidRDefault="00F62764">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D0CF41B" w14:textId="77777777" w:rsidR="00CF5679" w:rsidRPr="003A2408" w:rsidRDefault="00F62764">
      <w:pPr>
        <w:pStyle w:val="Title"/>
        <w:rPr>
          <w:sz w:val="56"/>
          <w:lang w:val="fr-BE"/>
        </w:rPr>
      </w:pPr>
      <w:r w:rsidRPr="001712DB">
        <w:rPr>
          <w:rFonts w:ascii="Lato Thin" w:hAnsi="Lato Thin" w:cs="Lato Thin"/>
          <w:noProof/>
          <w:color w:val="3B448C"/>
          <w:sz w:val="56"/>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1712DB">
        <w:rPr>
          <w:rFonts w:ascii="Lato Thin" w:hAnsi="Lato Thin" w:cs="Lato Thin"/>
          <w:noProof/>
          <w:color w:val="3B448C"/>
          <w:sz w:val="56"/>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1712DB" w:rsidRPr="003A2408">
        <w:rPr>
          <w:sz w:val="56"/>
          <w:lang w:val="fr-BE"/>
        </w:rPr>
        <w:t>politique de sécurité du réseau</w:t>
      </w:r>
    </w:p>
    <w:p w14:paraId="24FDAA18" w14:textId="77777777" w:rsidR="00CF5679" w:rsidRPr="003A2408" w:rsidRDefault="00F62764">
      <w:pPr>
        <w:pStyle w:val="Coversous-titre"/>
        <w:rPr>
          <w:noProof/>
          <w:lang w:val="fr-BE"/>
        </w:rPr>
      </w:pPr>
      <w:r w:rsidRPr="003A2408">
        <w:rPr>
          <w:lang w:val="fr-BE"/>
        </w:rPr>
        <w:t xml:space="preserve"> Modèle</w:t>
      </w:r>
    </w:p>
    <w:p w14:paraId="32731EFB" w14:textId="77777777" w:rsidR="00CF5679" w:rsidRPr="003A2408" w:rsidRDefault="00F62764">
      <w:pPr>
        <w:pStyle w:val="Heading1"/>
        <w:rPr>
          <w:lang w:val="fr-BE"/>
        </w:rPr>
      </w:pPr>
      <w:bookmarkStart w:id="0" w:name="_Toc157092842"/>
      <w:r w:rsidRPr="003A2408">
        <w:rPr>
          <w:lang w:val="fr-BE"/>
        </w:rPr>
        <w:lastRenderedPageBreak/>
        <w:t>Autorité et révision</w:t>
      </w:r>
      <w:bookmarkEnd w:id="0"/>
    </w:p>
    <w:p w14:paraId="057848DF" w14:textId="77777777" w:rsidR="00CF5679" w:rsidRPr="003A2408" w:rsidRDefault="00F62764">
      <w:pPr>
        <w:pStyle w:val="Heading2"/>
        <w:rPr>
          <w:lang w:val="fr-BE"/>
        </w:rPr>
      </w:pPr>
      <w:bookmarkStart w:id="1" w:name="_Toc157092843"/>
      <w:r w:rsidRPr="003A2408">
        <w:rPr>
          <w:lang w:val="fr-BE"/>
        </w:rPr>
        <w:t>Contrôle et révision des documents</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729043A3" w14:textId="77777777" w:rsidR="00CF5679" w:rsidRDefault="00F62764">
            <w:pPr>
              <w:rPr>
                <w:b/>
                <w:color w:val="FFFFFF" w:themeColor="background1"/>
                <w:lang w:val="nl-BE"/>
              </w:rPr>
            </w:pPr>
            <w:proofErr w:type="spellStart"/>
            <w:r w:rsidRPr="00C85E86">
              <w:rPr>
                <w:b/>
                <w:color w:val="FFFFFF" w:themeColor="background1"/>
                <w:lang w:val="nl-BE"/>
              </w:rPr>
              <w:t>Vérification</w:t>
            </w:r>
            <w:proofErr w:type="spellEnd"/>
            <w:r w:rsidRPr="00C85E86">
              <w:rPr>
                <w:b/>
                <w:color w:val="FFFFFF" w:themeColor="background1"/>
                <w:lang w:val="nl-BE"/>
              </w:rPr>
              <w:t xml:space="preserve"> des </w:t>
            </w:r>
            <w:proofErr w:type="spellStart"/>
            <w:r w:rsidRPr="00C85E86">
              <w:rPr>
                <w:b/>
                <w:color w:val="FFFFFF" w:themeColor="background1"/>
                <w:lang w:val="nl-BE"/>
              </w:rPr>
              <w:t>documents</w:t>
            </w:r>
            <w:proofErr w:type="spellEnd"/>
            <w:r w:rsidRPr="00C85E86">
              <w:rPr>
                <w:b/>
                <w:color w:val="FFFFFF" w:themeColor="background1"/>
                <w:lang w:val="nl-BE"/>
              </w:rPr>
              <w:t xml:space="preserv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37FC000" w14:textId="77777777" w:rsidR="00CF5679" w:rsidRDefault="00F62764">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76F5762C" w14:textId="77777777" w:rsidR="00CF5679" w:rsidRDefault="00F62764">
            <w:pPr>
              <w:rPr>
                <w:bCs/>
                <w:lang w:val="nl-BE"/>
              </w:rPr>
            </w:pPr>
            <w:proofErr w:type="spellStart"/>
            <w:r w:rsidRPr="00C85E86">
              <w:rPr>
                <w:bCs/>
                <w:lang w:val="nl-BE"/>
              </w:rPr>
              <w:t>Propriétaire</w:t>
            </w:r>
            <w:proofErr w:type="spellEnd"/>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41C35C56" w14:textId="77777777" w:rsidR="00CF5679" w:rsidRDefault="00F62764">
            <w:pPr>
              <w:rPr>
                <w:bCs/>
                <w:lang w:val="nl-BE"/>
              </w:rPr>
            </w:pPr>
            <w:r w:rsidRPr="00C85E86">
              <w:rPr>
                <w:bCs/>
                <w:lang w:val="nl-BE"/>
              </w:rPr>
              <w:t xml:space="preserve">Date de </w:t>
            </w:r>
            <w:proofErr w:type="spellStart"/>
            <w:r w:rsidRPr="00C85E86">
              <w:rPr>
                <w:bCs/>
                <w:lang w:val="nl-BE"/>
              </w:rPr>
              <w:t>création</w:t>
            </w:r>
            <w:proofErr w:type="spellEnd"/>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7EBA2DE0" w14:textId="77777777" w:rsidR="00CF5679" w:rsidRDefault="00F62764">
            <w:pPr>
              <w:rPr>
                <w:bCs/>
                <w:lang w:val="nl-BE"/>
              </w:rPr>
            </w:pPr>
            <w:proofErr w:type="spellStart"/>
            <w:r w:rsidRPr="00C85E86">
              <w:rPr>
                <w:bCs/>
                <w:lang w:val="nl-BE"/>
              </w:rPr>
              <w:t>Dernière</w:t>
            </w:r>
            <w:proofErr w:type="spellEnd"/>
            <w:r w:rsidRPr="00C85E86">
              <w:rPr>
                <w:bCs/>
                <w:lang w:val="nl-BE"/>
              </w:rPr>
              <w:t xml:space="preserve"> </w:t>
            </w:r>
            <w:proofErr w:type="spellStart"/>
            <w:r w:rsidRPr="00C85E86">
              <w:rPr>
                <w:bCs/>
                <w:lang w:val="nl-BE"/>
              </w:rPr>
              <w:t>révision</w:t>
            </w:r>
            <w:proofErr w:type="spellEnd"/>
            <w:r w:rsidRPr="00C85E86">
              <w:rPr>
                <w:bCs/>
                <w:lang w:val="nl-BE"/>
              </w:rPr>
              <w:t xml:space="preserve"> par </w:t>
            </w:r>
          </w:p>
        </w:tc>
        <w:tc>
          <w:tcPr>
            <w:tcW w:w="6366" w:type="dxa"/>
            <w:vAlign w:val="center"/>
          </w:tcPr>
          <w:p w14:paraId="4CCA7809" w14:textId="77777777" w:rsidR="00CA1946" w:rsidRPr="00C85E86" w:rsidRDefault="00CA1946" w:rsidP="00040420">
            <w:pPr>
              <w:rPr>
                <w:b/>
                <w:lang w:val="nl-BE"/>
              </w:rPr>
            </w:pPr>
          </w:p>
        </w:tc>
      </w:tr>
      <w:tr w:rsidR="00CA1946" w:rsidRPr="003A2408" w14:paraId="50158E5B" w14:textId="77777777" w:rsidTr="006247AE">
        <w:trPr>
          <w:trHeight w:val="283"/>
        </w:trPr>
        <w:tc>
          <w:tcPr>
            <w:tcW w:w="2696" w:type="dxa"/>
            <w:vAlign w:val="center"/>
          </w:tcPr>
          <w:p w14:paraId="477ED406" w14:textId="77777777" w:rsidR="00CF5679" w:rsidRPr="003A2408" w:rsidRDefault="00F62764">
            <w:pPr>
              <w:rPr>
                <w:bCs/>
                <w:lang w:val="fr-BE"/>
              </w:rPr>
            </w:pPr>
            <w:r w:rsidRPr="003A2408">
              <w:rPr>
                <w:bCs/>
                <w:lang w:val="fr-BE"/>
              </w:rPr>
              <w:t>Date de la dernière révision</w:t>
            </w:r>
          </w:p>
        </w:tc>
        <w:tc>
          <w:tcPr>
            <w:tcW w:w="6366" w:type="dxa"/>
            <w:vAlign w:val="center"/>
          </w:tcPr>
          <w:p w14:paraId="1B9F79EF" w14:textId="77777777" w:rsidR="00CA1946" w:rsidRPr="003A2408" w:rsidRDefault="00CA1946" w:rsidP="00040420">
            <w:pPr>
              <w:rPr>
                <w:b/>
                <w:lang w:val="fr-BE"/>
              </w:rPr>
            </w:pPr>
          </w:p>
        </w:tc>
      </w:tr>
    </w:tbl>
    <w:p w14:paraId="6798C883" w14:textId="77777777" w:rsidR="00CF5679" w:rsidRDefault="00F62764">
      <w:pPr>
        <w:pStyle w:val="BodyText"/>
        <w:rPr>
          <w:lang w:val="nl-BE"/>
        </w:rPr>
      </w:pPr>
      <w:r w:rsidRPr="00C85E86">
        <w:rPr>
          <w:lang w:val="nl-BE"/>
        </w:rPr>
        <w:t>.</w:t>
      </w:r>
    </w:p>
    <w:p w14:paraId="6B513DBA" w14:textId="77777777" w:rsidR="00CF5679" w:rsidRDefault="00F62764">
      <w:pPr>
        <w:pStyle w:val="Heading2"/>
        <w:rPr>
          <w:lang w:val="nl-BE"/>
        </w:rPr>
      </w:pPr>
      <w:bookmarkStart w:id="2" w:name="_Toc157092844"/>
      <w:r w:rsidRPr="00C85E86">
        <w:rPr>
          <w:lang w:val="nl-BE"/>
        </w:rPr>
        <w:t>Gestion des versions</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913"/>
        <w:gridCol w:w="2718"/>
        <w:gridCol w:w="3516"/>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26B9F73E" w14:textId="77777777" w:rsidR="00CF5679" w:rsidRDefault="00F62764">
            <w:pPr>
              <w:rPr>
                <w:b/>
                <w:color w:val="FFFFFF" w:themeColor="background1"/>
                <w:lang w:val="nl-BE"/>
              </w:rPr>
            </w:pPr>
            <w:r w:rsidRPr="00C85E86">
              <w:rPr>
                <w:b/>
                <w:color w:val="FFFFFF" w:themeColor="background1"/>
                <w:lang w:val="nl-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74EC3F0" w14:textId="77777777" w:rsidR="00CF5679" w:rsidRDefault="00F62764">
            <w:pPr>
              <w:rPr>
                <w:b/>
                <w:color w:val="FFFFFF" w:themeColor="background1"/>
                <w:lang w:val="nl-BE"/>
              </w:rPr>
            </w:pPr>
            <w:r w:rsidRPr="00C85E86">
              <w:rPr>
                <w:b/>
                <w:color w:val="FFFFFF" w:themeColor="background1"/>
                <w:lang w:val="nl-BE"/>
              </w:rPr>
              <w:t xml:space="preserve">Date </w:t>
            </w:r>
            <w:proofErr w:type="spellStart"/>
            <w:r w:rsidRPr="00C85E86">
              <w:rPr>
                <w:b/>
                <w:color w:val="FFFFFF" w:themeColor="background1"/>
                <w:lang w:val="nl-BE"/>
              </w:rPr>
              <w:t>d'approbation</w:t>
            </w:r>
            <w:proofErr w:type="spellEnd"/>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3BFB3CB" w14:textId="77777777" w:rsidR="00CF5679" w:rsidRDefault="00F62764">
            <w:pPr>
              <w:rPr>
                <w:b/>
                <w:color w:val="FFFFFF" w:themeColor="background1"/>
                <w:lang w:val="nl-BE"/>
              </w:rPr>
            </w:pPr>
            <w:proofErr w:type="spellStart"/>
            <w:r w:rsidRPr="00C85E86">
              <w:rPr>
                <w:b/>
                <w:color w:val="FFFFFF" w:themeColor="background1"/>
                <w:lang w:val="nl-BE"/>
              </w:rPr>
              <w:t>Approuvé</w:t>
            </w:r>
            <w:proofErr w:type="spellEnd"/>
            <w:r w:rsidRPr="00C85E86">
              <w:rPr>
                <w:b/>
                <w:color w:val="FFFFFF" w:themeColor="background1"/>
                <w:lang w:val="nl-BE"/>
              </w:rPr>
              <w:t xml:space="preserve"> par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5C6131E9" w14:textId="77777777" w:rsidR="00CF5679" w:rsidRDefault="00F62764">
            <w:pPr>
              <w:rPr>
                <w:b/>
                <w:color w:val="FFFFFF" w:themeColor="background1"/>
                <w:lang w:val="nl-BE"/>
              </w:rPr>
            </w:pPr>
            <w:proofErr w:type="spellStart"/>
            <w:r w:rsidRPr="00C85E86">
              <w:rPr>
                <w:b/>
                <w:color w:val="FFFFFF" w:themeColor="background1"/>
                <w:lang w:val="nl-BE"/>
              </w:rPr>
              <w:t>Description</w:t>
            </w:r>
            <w:proofErr w:type="spellEnd"/>
            <w:r w:rsidRPr="00C85E86">
              <w:rPr>
                <w:b/>
                <w:color w:val="FFFFFF" w:themeColor="background1"/>
                <w:lang w:val="nl-BE"/>
              </w:rPr>
              <w:t xml:space="preserve"> du changement</w:t>
            </w:r>
          </w:p>
        </w:tc>
      </w:tr>
      <w:tr w:rsidR="00B35843" w:rsidRPr="00C85E86" w14:paraId="00F253EB" w14:textId="77777777" w:rsidTr="00040420">
        <w:trPr>
          <w:trHeight w:val="283"/>
        </w:trPr>
        <w:tc>
          <w:tcPr>
            <w:tcW w:w="860" w:type="dxa"/>
            <w:tcBorders>
              <w:top w:val="single" w:sz="4" w:space="0" w:color="007988"/>
            </w:tcBorders>
            <w:vAlign w:val="center"/>
          </w:tcPr>
          <w:p w14:paraId="17C49635" w14:textId="77777777" w:rsidR="00CF5679" w:rsidRDefault="00F62764">
            <w:pPr>
              <w:rPr>
                <w:lang w:val="nl-BE"/>
              </w:rPr>
            </w:pPr>
            <w:r>
              <w:rPr>
                <w:lang w:val="nl-BE"/>
              </w:rPr>
              <w:t>1.0</w:t>
            </w: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6BC32B92" w14:textId="77777777" w:rsidR="00CF5679" w:rsidRDefault="00F62764">
      <w:pPr>
        <w:pStyle w:val="Heading1"/>
        <w:rPr>
          <w:lang w:val="nl-BE"/>
        </w:rPr>
      </w:pPr>
      <w:r>
        <w:rPr>
          <w:lang w:val="nl-BE"/>
        </w:rPr>
        <w:lastRenderedPageBreak/>
        <w:t>Intro</w:t>
      </w:r>
    </w:p>
    <w:p w14:paraId="396B6259" w14:textId="77777777" w:rsidR="00CF5679" w:rsidRPr="003A2408" w:rsidRDefault="00F62764">
      <w:pPr>
        <w:pStyle w:val="BodyText"/>
        <w:rPr>
          <w:lang w:val="fr-BE"/>
        </w:rPr>
      </w:pPr>
      <w:r w:rsidRPr="003A2408">
        <w:rPr>
          <w:lang w:val="fr-BE"/>
        </w:rPr>
        <w:t>La sécurité du réseau au sein de l'organisation est importante car elle constitue votre première défense contre les attaques extérieures. En mettant en œuvre des mesures techniques et organisationnelles efficaces en matière de sécurité des réseaux, vous pouvez empêcher les cybercriminels de cartographier votre infrastructure, de perturber vos communications, de collecter illégalement des données ou d'atteindre des applications et des appareils critiques.</w:t>
      </w:r>
    </w:p>
    <w:p w14:paraId="67A8AFCB" w14:textId="2075602D" w:rsidR="00CF5679" w:rsidRPr="003A2408" w:rsidRDefault="00F62764">
      <w:pPr>
        <w:pStyle w:val="BodyText"/>
        <w:rPr>
          <w:lang w:val="fr-BE"/>
        </w:rPr>
      </w:pPr>
      <w:r w:rsidRPr="003A2408">
        <w:rPr>
          <w:lang w:val="fr-BE"/>
        </w:rPr>
        <w:t xml:space="preserve">Le présent document fait partie d'un ensemble de documents destinés à aider </w:t>
      </w:r>
      <w:r w:rsidRPr="003A2408">
        <w:rPr>
          <w:b/>
          <w:bCs/>
          <w:color w:val="00B0F0"/>
          <w:lang w:val="fr-BE"/>
        </w:rPr>
        <w:t xml:space="preserve">[l'organisation] </w:t>
      </w:r>
      <w:r w:rsidRPr="003A2408">
        <w:rPr>
          <w:lang w:val="fr-BE"/>
        </w:rPr>
        <w:t>à mettre en place une stratégie solide en matière de cybersécurité.</w:t>
      </w:r>
    </w:p>
    <w:p w14:paraId="4D6CF92E" w14:textId="77777777" w:rsidR="00CF5679" w:rsidRPr="003A2408" w:rsidRDefault="00F62764">
      <w:pPr>
        <w:pStyle w:val="Heading1"/>
        <w:rPr>
          <w:lang w:val="fr-BE"/>
        </w:rPr>
      </w:pPr>
      <w:r w:rsidRPr="003A2408">
        <w:rPr>
          <w:lang w:val="fr-BE"/>
        </w:rPr>
        <w:t>Sécurité des réseaux</w:t>
      </w:r>
    </w:p>
    <w:p w14:paraId="68A02BE8" w14:textId="77777777" w:rsidR="00CF5679" w:rsidRPr="003A2408" w:rsidRDefault="00F62764">
      <w:pPr>
        <w:pStyle w:val="Heading2"/>
        <w:rPr>
          <w:lang w:val="fr-BE"/>
        </w:rPr>
      </w:pPr>
      <w:r w:rsidRPr="003A2408">
        <w:rPr>
          <w:lang w:val="fr-BE"/>
        </w:rPr>
        <w:t>Sécurité physique</w:t>
      </w:r>
    </w:p>
    <w:p w14:paraId="63C14715" w14:textId="77777777" w:rsidR="00CF5679" w:rsidRPr="003A2408" w:rsidRDefault="00F62764">
      <w:pPr>
        <w:pStyle w:val="BodyText"/>
        <w:rPr>
          <w:lang w:val="fr-BE"/>
        </w:rPr>
      </w:pPr>
      <w:r w:rsidRPr="003A2408">
        <w:rPr>
          <w:lang w:val="fr-BE"/>
        </w:rPr>
        <w:t>Les composants du réseau, tels que les pare-feu et les commutateurs, doivent être placés dans des armoires dédiées. L'accès à ces armoires doit être réservé au personnel spécialement désigné. Les câbles de données et d'alimentation doivent être protégés contre les dommages.</w:t>
      </w:r>
    </w:p>
    <w:p w14:paraId="08D0EEBD" w14:textId="77777777" w:rsidR="00CF5679" w:rsidRPr="003A2408" w:rsidRDefault="00F62764">
      <w:pPr>
        <w:pStyle w:val="Heading2"/>
        <w:rPr>
          <w:lang w:val="fr-BE"/>
        </w:rPr>
      </w:pPr>
      <w:r w:rsidRPr="003A2408">
        <w:rPr>
          <w:lang w:val="fr-BE"/>
        </w:rPr>
        <w:t>Séparation des réseaux</w:t>
      </w:r>
    </w:p>
    <w:p w14:paraId="526370AC" w14:textId="77777777" w:rsidR="00CF5679" w:rsidRPr="003A2408" w:rsidRDefault="00F62764">
      <w:pPr>
        <w:pStyle w:val="BodyText"/>
        <w:rPr>
          <w:lang w:val="fr-BE"/>
        </w:rPr>
      </w:pPr>
      <w:r w:rsidRPr="003A2408">
        <w:rPr>
          <w:lang w:val="fr-BE"/>
        </w:rPr>
        <w:t>Pour empêcher les logiciels malveillants et autres abus de se propager sur le réseau, celui-ci doit être conçu comme une topologie séparée. Les systèmes doivent résider dans des VLAN désignés, séparés par des règles d'accès au pare-feu.</w:t>
      </w:r>
    </w:p>
    <w:p w14:paraId="4BE6502C" w14:textId="77777777" w:rsidR="00CF5679" w:rsidRPr="003A2408" w:rsidRDefault="00F62764">
      <w:pPr>
        <w:pStyle w:val="BodyText"/>
        <w:rPr>
          <w:lang w:val="fr-BE"/>
        </w:rPr>
      </w:pPr>
      <w:r w:rsidRPr="003A2408">
        <w:rPr>
          <w:lang w:val="fr-BE"/>
        </w:rPr>
        <w:t>Les règles suivantes de séparation des VLAN doivent être respectées :</w:t>
      </w:r>
    </w:p>
    <w:p w14:paraId="5D9E9215" w14:textId="77777777" w:rsidR="00CF5679" w:rsidRPr="003A2408" w:rsidRDefault="00F62764">
      <w:pPr>
        <w:pStyle w:val="BodyText"/>
        <w:numPr>
          <w:ilvl w:val="0"/>
          <w:numId w:val="43"/>
        </w:numPr>
        <w:rPr>
          <w:lang w:val="fr-BE"/>
        </w:rPr>
      </w:pPr>
      <w:r w:rsidRPr="003A2408">
        <w:rPr>
          <w:lang w:val="fr-BE"/>
        </w:rPr>
        <w:t>Les systèmes fournissant des services en ligne (c'est-à-dire acceptant le trafic entrant de l'internet) doivent être séparés des autres systèmes.</w:t>
      </w:r>
    </w:p>
    <w:p w14:paraId="27571143" w14:textId="77777777" w:rsidR="00CF5679" w:rsidRPr="003A2408" w:rsidRDefault="00F62764">
      <w:pPr>
        <w:pStyle w:val="BodyText"/>
        <w:numPr>
          <w:ilvl w:val="0"/>
          <w:numId w:val="43"/>
        </w:numPr>
        <w:rPr>
          <w:lang w:val="fr-BE"/>
        </w:rPr>
      </w:pPr>
      <w:r w:rsidRPr="003A2408">
        <w:rPr>
          <w:lang w:val="fr-BE"/>
        </w:rPr>
        <w:t>La gestion du réseau se fait via un VLAN séparé.</w:t>
      </w:r>
    </w:p>
    <w:p w14:paraId="523E04D1" w14:textId="77777777" w:rsidR="00CF5679" w:rsidRPr="003A2408" w:rsidRDefault="00F62764">
      <w:pPr>
        <w:pStyle w:val="BodyText"/>
        <w:numPr>
          <w:ilvl w:val="0"/>
          <w:numId w:val="43"/>
        </w:numPr>
        <w:rPr>
          <w:lang w:val="fr-BE"/>
        </w:rPr>
      </w:pPr>
      <w:r w:rsidRPr="003A2408">
        <w:rPr>
          <w:lang w:val="fr-BE"/>
        </w:rPr>
        <w:t>Les systèmes fournissant des services connectés (c'est-à-dire acceptant un trafic entrant en provenance de réseaux non fiables autres que l'internet) doivent être séparés des autres systèmes.</w:t>
      </w:r>
    </w:p>
    <w:p w14:paraId="304B98B9" w14:textId="77777777" w:rsidR="00CF5679" w:rsidRPr="003A2408" w:rsidRDefault="00F62764">
      <w:pPr>
        <w:pStyle w:val="BodyText"/>
        <w:numPr>
          <w:ilvl w:val="0"/>
          <w:numId w:val="43"/>
        </w:numPr>
        <w:rPr>
          <w:lang w:val="fr-BE"/>
        </w:rPr>
      </w:pPr>
      <w:r w:rsidRPr="003A2408">
        <w:rPr>
          <w:lang w:val="fr-BE"/>
        </w:rPr>
        <w:t>Les appareils des utilisateurs finaux doivent être séparés des serveurs.</w:t>
      </w:r>
    </w:p>
    <w:p w14:paraId="5F2EC008" w14:textId="77777777" w:rsidR="00CF5679" w:rsidRPr="003A2408" w:rsidRDefault="00F62764">
      <w:pPr>
        <w:pStyle w:val="BodyText"/>
        <w:numPr>
          <w:ilvl w:val="0"/>
          <w:numId w:val="43"/>
        </w:numPr>
        <w:rPr>
          <w:lang w:val="fr-BE"/>
        </w:rPr>
      </w:pPr>
      <w:r w:rsidRPr="003A2408">
        <w:rPr>
          <w:lang w:val="fr-BE"/>
        </w:rPr>
        <w:t>Les appareils non gérés doivent être séparés des appareils gérés.</w:t>
      </w:r>
    </w:p>
    <w:p w14:paraId="1F89D00B" w14:textId="77777777" w:rsidR="00CF5679" w:rsidRPr="003A2408" w:rsidRDefault="00F62764">
      <w:pPr>
        <w:pStyle w:val="BodyText"/>
        <w:numPr>
          <w:ilvl w:val="0"/>
          <w:numId w:val="43"/>
        </w:numPr>
        <w:rPr>
          <w:lang w:val="fr-BE"/>
        </w:rPr>
      </w:pPr>
      <w:r w:rsidRPr="003A2408">
        <w:rPr>
          <w:lang w:val="fr-BE"/>
        </w:rPr>
        <w:t>Les systèmes ayant des objectifs différents doivent être séparés.</w:t>
      </w:r>
    </w:p>
    <w:p w14:paraId="04FF075F" w14:textId="77777777" w:rsidR="00CF5679" w:rsidRPr="003A2408" w:rsidRDefault="00F62764">
      <w:pPr>
        <w:pStyle w:val="BodyText"/>
        <w:numPr>
          <w:ilvl w:val="0"/>
          <w:numId w:val="43"/>
        </w:numPr>
        <w:rPr>
          <w:lang w:val="fr-BE"/>
        </w:rPr>
      </w:pPr>
      <w:r w:rsidRPr="003A2408">
        <w:rPr>
          <w:lang w:val="fr-BE"/>
        </w:rPr>
        <w:t>Les sites physiques doivent être séparés.</w:t>
      </w:r>
    </w:p>
    <w:p w14:paraId="46CA8507" w14:textId="77777777" w:rsidR="00CF5679" w:rsidRPr="003A2408" w:rsidRDefault="00F62764">
      <w:pPr>
        <w:pStyle w:val="BodyText"/>
        <w:numPr>
          <w:ilvl w:val="0"/>
          <w:numId w:val="43"/>
        </w:numPr>
        <w:rPr>
          <w:lang w:val="fr-BE"/>
        </w:rPr>
      </w:pPr>
      <w:r w:rsidRPr="003A2408">
        <w:rPr>
          <w:lang w:val="fr-BE"/>
        </w:rPr>
        <w:t>Les systèmes de développement, de test et de production doivent être séparés.</w:t>
      </w:r>
    </w:p>
    <w:p w14:paraId="328CDF1C" w14:textId="77777777" w:rsidR="00891C31" w:rsidRPr="003A2408" w:rsidRDefault="00891C31" w:rsidP="00891C31">
      <w:pPr>
        <w:pStyle w:val="BodyText"/>
        <w:ind w:left="360"/>
        <w:rPr>
          <w:lang w:val="fr-BE"/>
        </w:rPr>
      </w:pPr>
    </w:p>
    <w:p w14:paraId="72DABDE8" w14:textId="77777777" w:rsidR="00891C31" w:rsidRPr="003A2408" w:rsidRDefault="00891C31" w:rsidP="00891C31">
      <w:pPr>
        <w:pStyle w:val="BodyText"/>
        <w:ind w:left="360"/>
        <w:rPr>
          <w:lang w:val="fr-BE"/>
        </w:rPr>
      </w:pPr>
    </w:p>
    <w:p w14:paraId="40B3A18D" w14:textId="77777777" w:rsidR="00891C31" w:rsidRPr="003A2408" w:rsidRDefault="00891C31" w:rsidP="00891C31">
      <w:pPr>
        <w:pStyle w:val="BodyText"/>
        <w:ind w:left="360"/>
        <w:rPr>
          <w:lang w:val="fr-BE"/>
        </w:rPr>
      </w:pPr>
    </w:p>
    <w:p w14:paraId="0A1D002C" w14:textId="77777777" w:rsidR="00891C31" w:rsidRPr="003A2408" w:rsidRDefault="00891C31" w:rsidP="00891C31">
      <w:pPr>
        <w:pStyle w:val="BodyText"/>
        <w:ind w:left="360"/>
        <w:rPr>
          <w:lang w:val="fr-BE"/>
        </w:rPr>
      </w:pPr>
    </w:p>
    <w:p w14:paraId="2724A9C2" w14:textId="77777777" w:rsidR="00891C31" w:rsidRPr="003A2408" w:rsidRDefault="00891C31" w:rsidP="00891C31">
      <w:pPr>
        <w:pStyle w:val="BodyText"/>
        <w:ind w:left="360"/>
        <w:rPr>
          <w:lang w:val="fr-BE"/>
        </w:rPr>
      </w:pPr>
    </w:p>
    <w:p w14:paraId="12E424E4" w14:textId="77777777" w:rsidR="00891C31" w:rsidRPr="003A2408" w:rsidRDefault="00891C31" w:rsidP="00891C31">
      <w:pPr>
        <w:pStyle w:val="BodyText"/>
        <w:ind w:left="360"/>
        <w:rPr>
          <w:lang w:val="fr-BE"/>
        </w:rPr>
      </w:pPr>
    </w:p>
    <w:p w14:paraId="0F1DD3A4" w14:textId="77777777" w:rsidR="00891C31" w:rsidRPr="003A2408" w:rsidRDefault="00891C31" w:rsidP="00891C31">
      <w:pPr>
        <w:pStyle w:val="BodyText"/>
        <w:ind w:left="360"/>
        <w:rPr>
          <w:lang w:val="fr-BE"/>
        </w:rPr>
      </w:pPr>
    </w:p>
    <w:p w14:paraId="625E3C40" w14:textId="51F770B1" w:rsidR="00CF5679" w:rsidRPr="003A2408" w:rsidRDefault="00BA5CE5">
      <w:pPr>
        <w:pStyle w:val="Heading2"/>
        <w:rPr>
          <w:lang w:val="fr-BE"/>
        </w:rPr>
      </w:pPr>
      <w:r>
        <w:rPr>
          <w:lang w:val="fr-BE"/>
        </w:rPr>
        <w:lastRenderedPageBreak/>
        <w:t>Pare</w:t>
      </w:r>
      <w:r w:rsidR="00F62764" w:rsidRPr="003A2408">
        <w:rPr>
          <w:lang w:val="fr-BE"/>
        </w:rPr>
        <w:t>-feu</w:t>
      </w:r>
    </w:p>
    <w:p w14:paraId="543A53DE" w14:textId="77777777" w:rsidR="00CF5679" w:rsidRPr="003A2408" w:rsidRDefault="00F62764">
      <w:pPr>
        <w:pStyle w:val="BodyText"/>
        <w:rPr>
          <w:lang w:val="fr-BE"/>
        </w:rPr>
      </w:pPr>
      <w:r w:rsidRPr="003A2408">
        <w:rPr>
          <w:lang w:val="fr-BE"/>
        </w:rPr>
        <w:t xml:space="preserve">Les VLAN doivent être séparés par des pare-feu. Le trafic réseau entre les VLAN et le trafic en provenance ou à destination de réseaux non fiables doivent être bloqués, sauf s'il est explicitement demandé qu'ils soient ouverts.  </w:t>
      </w:r>
      <w:r w:rsidR="00653B3A" w:rsidRPr="003A2408">
        <w:rPr>
          <w:lang w:val="fr-BE"/>
        </w:rPr>
        <w:t>L'accès sortant à l'internet pour les VLAN des utilisateurs du bureau est autorisé, à moins qu'il ne nuise à la sécurité ou aux performances de l'entreprise. Le trafic peut être hiérarchisé, par exemple pour éviter que les flux vidéo ou musicaux n'affectent le trafic bureautique lié au travail.</w:t>
      </w:r>
    </w:p>
    <w:p w14:paraId="5CB045B6" w14:textId="77777777" w:rsidR="00CF5679" w:rsidRPr="003A2408" w:rsidRDefault="00F62764">
      <w:pPr>
        <w:widowControl/>
        <w:autoSpaceDE/>
        <w:autoSpaceDN/>
        <w:rPr>
          <w:lang w:val="fr-BE"/>
        </w:rPr>
      </w:pPr>
      <w:r w:rsidRPr="003A2408">
        <w:rPr>
          <w:lang w:val="fr-BE"/>
        </w:rPr>
        <w:t>VPN</w:t>
      </w:r>
    </w:p>
    <w:p w14:paraId="716F3DB1" w14:textId="77777777" w:rsidR="00CF5679" w:rsidRPr="003A2408" w:rsidRDefault="00F62764">
      <w:pPr>
        <w:pStyle w:val="BodyText"/>
        <w:rPr>
          <w:lang w:val="fr-BE"/>
        </w:rPr>
      </w:pPr>
      <w:r w:rsidRPr="003A2408">
        <w:rPr>
          <w:lang w:val="fr-BE"/>
        </w:rPr>
        <w:t>Pour le télétravail ou les communications de machine à machine sur des réseaux non fiables, le VPN peut être utilisé pour crypter le trafic réseau qui n'est pas crypté par défaut.</w:t>
      </w:r>
    </w:p>
    <w:p w14:paraId="539EA2B1" w14:textId="77777777" w:rsidR="00CF5679" w:rsidRPr="003A2408" w:rsidRDefault="00F62764">
      <w:pPr>
        <w:pStyle w:val="BodyText"/>
        <w:rPr>
          <w:lang w:val="fr-BE"/>
        </w:rPr>
      </w:pPr>
      <w:r w:rsidRPr="003A2408">
        <w:rPr>
          <w:lang w:val="fr-BE"/>
        </w:rPr>
        <w:t>L'accès au RPV, et donc à tous les systèmes sous-jacents de l</w:t>
      </w:r>
      <w:r w:rsidRPr="003A2408">
        <w:rPr>
          <w:b/>
          <w:bCs/>
          <w:color w:val="00B0F0"/>
          <w:lang w:val="fr-BE"/>
        </w:rPr>
        <w:t xml:space="preserve">'[Organisation], </w:t>
      </w:r>
      <w:r w:rsidRPr="003A2408">
        <w:rPr>
          <w:lang w:val="fr-BE"/>
        </w:rPr>
        <w:t>doit, dans la mesure du possible, être configuré de manière à utiliser une forme d'authentification multifactorielle, de sorte qu'une personne non autorisée en possession d'informations d'identification compromises de l'[</w:t>
      </w:r>
      <w:r w:rsidRPr="003A2408">
        <w:rPr>
          <w:b/>
          <w:bCs/>
          <w:color w:val="00B0F0"/>
          <w:lang w:val="fr-BE"/>
        </w:rPr>
        <w:t xml:space="preserve">Organisation] </w:t>
      </w:r>
      <w:r w:rsidRPr="003A2408">
        <w:rPr>
          <w:lang w:val="fr-BE"/>
        </w:rPr>
        <w:t>ne puisse pas utiliser le RPV de l</w:t>
      </w:r>
      <w:r w:rsidRPr="003A2408">
        <w:rPr>
          <w:b/>
          <w:bCs/>
          <w:color w:val="00B0F0"/>
          <w:lang w:val="fr-BE"/>
        </w:rPr>
        <w:t>'[Organisation].</w:t>
      </w:r>
    </w:p>
    <w:p w14:paraId="06840453" w14:textId="77777777" w:rsidR="00826658" w:rsidRPr="003A2408" w:rsidRDefault="00826658" w:rsidP="0022731C">
      <w:pPr>
        <w:rPr>
          <w:lang w:val="fr-BE"/>
        </w:rPr>
      </w:pPr>
    </w:p>
    <w:p w14:paraId="07D42FA7" w14:textId="77777777" w:rsidR="00CF5679" w:rsidRPr="003A2408" w:rsidRDefault="00F62764">
      <w:pPr>
        <w:pStyle w:val="Heading2"/>
        <w:rPr>
          <w:lang w:val="fr-BE"/>
        </w:rPr>
      </w:pPr>
      <w:r w:rsidRPr="003A2408">
        <w:rPr>
          <w:lang w:val="fr-BE"/>
        </w:rPr>
        <w:t>Sécurisation des réseaux câblés</w:t>
      </w:r>
    </w:p>
    <w:p w14:paraId="7234DADA" w14:textId="77777777" w:rsidR="00CF5679" w:rsidRPr="003A2408" w:rsidRDefault="00F62764">
      <w:pPr>
        <w:pStyle w:val="Heading1"/>
        <w:rPr>
          <w:rFonts w:eastAsia="Lato-Semibold" w:cs="Lato-Semibold"/>
          <w:b w:val="0"/>
          <w:color w:val="757F85" w:themeColor="accent6"/>
          <w:sz w:val="18"/>
          <w:szCs w:val="22"/>
          <w:lang w:val="fr-BE"/>
        </w:rPr>
      </w:pPr>
      <w:bookmarkStart w:id="3" w:name="_Toc157092846"/>
      <w:bookmarkStart w:id="4" w:name="_Hlk156987633"/>
      <w:r w:rsidRPr="003A2408">
        <w:rPr>
          <w:rFonts w:eastAsia="Lato-Semibold" w:cs="Lato-Semibold"/>
          <w:b w:val="0"/>
          <w:color w:val="757F85" w:themeColor="accent6"/>
          <w:sz w:val="18"/>
          <w:szCs w:val="22"/>
          <w:lang w:val="fr-BE"/>
        </w:rPr>
        <w:t xml:space="preserve">Les ports du réseau doivent être protégés contre les dispositifs non fiables. Lorsque la sécurité physique est faible, des techniques de sécurité réseau telles que le </w:t>
      </w:r>
      <w:r w:rsidR="00A646CE" w:rsidRPr="003A2408">
        <w:rPr>
          <w:rFonts w:eastAsia="Lato-Semibold" w:cs="Lato-Semibold"/>
          <w:b w:val="0"/>
          <w:color w:val="757F85" w:themeColor="accent6"/>
          <w:sz w:val="18"/>
          <w:szCs w:val="22"/>
          <w:lang w:val="fr-BE"/>
        </w:rPr>
        <w:t xml:space="preserve">filtrage MAC </w:t>
      </w:r>
      <w:r w:rsidRPr="003A2408">
        <w:rPr>
          <w:rFonts w:eastAsia="Lato-Semibold" w:cs="Lato-Semibold"/>
          <w:b w:val="0"/>
          <w:color w:val="757F85" w:themeColor="accent6"/>
          <w:sz w:val="18"/>
          <w:szCs w:val="22"/>
          <w:lang w:val="fr-BE"/>
        </w:rPr>
        <w:t>ou la sécurité d'accès au réseau doivent être utilisées pour bloquer ou isoler les dispositifs non fiables.</w:t>
      </w:r>
    </w:p>
    <w:p w14:paraId="70BCDE72" w14:textId="77777777" w:rsidR="00CF5679" w:rsidRPr="003A2408" w:rsidRDefault="00F62764">
      <w:pPr>
        <w:pStyle w:val="Heading2"/>
        <w:rPr>
          <w:lang w:val="fr-BE"/>
        </w:rPr>
      </w:pPr>
      <w:r w:rsidRPr="003A2408">
        <w:rPr>
          <w:lang w:val="fr-BE"/>
        </w:rPr>
        <w:t>Sécurité des réseaux sans fil</w:t>
      </w:r>
    </w:p>
    <w:p w14:paraId="18AEA1FE" w14:textId="77777777" w:rsidR="00CF5679" w:rsidRPr="003A2408" w:rsidRDefault="00F62764">
      <w:pPr>
        <w:pStyle w:val="BodyText"/>
        <w:rPr>
          <w:lang w:val="fr-BE"/>
        </w:rPr>
      </w:pPr>
      <w:r w:rsidRPr="003A2408">
        <w:rPr>
          <w:lang w:val="fr-BE"/>
        </w:rPr>
        <w:t>Le Wi-Fi utilise différentes normes pour le cryptage et l'authentification. Les méthodes ci-dessous sont classées par ordre de sécurité (la première est la seule méthode sûre) :</w:t>
      </w:r>
    </w:p>
    <w:p w14:paraId="7E895A5F" w14:textId="77777777" w:rsidR="00CF5679" w:rsidRDefault="00F62764">
      <w:pPr>
        <w:pStyle w:val="BodyText"/>
        <w:numPr>
          <w:ilvl w:val="0"/>
          <w:numId w:val="44"/>
        </w:numPr>
        <w:rPr>
          <w:lang w:val="nl-BE"/>
        </w:rPr>
      </w:pPr>
      <w:r w:rsidRPr="004C57F4">
        <w:rPr>
          <w:lang w:val="nl-BE"/>
        </w:rPr>
        <w:t>WPA2 + AES</w:t>
      </w:r>
    </w:p>
    <w:p w14:paraId="765CEB30" w14:textId="77777777" w:rsidR="00CF5679" w:rsidRDefault="00F62764">
      <w:pPr>
        <w:pStyle w:val="BodyText"/>
        <w:numPr>
          <w:ilvl w:val="0"/>
          <w:numId w:val="44"/>
        </w:numPr>
        <w:rPr>
          <w:lang w:val="nl-BE"/>
        </w:rPr>
      </w:pPr>
      <w:r w:rsidRPr="004C57F4">
        <w:rPr>
          <w:lang w:val="nl-BE"/>
        </w:rPr>
        <w:t xml:space="preserve">WPA + AES (non </w:t>
      </w:r>
      <w:proofErr w:type="spellStart"/>
      <w:r w:rsidRPr="004C57F4">
        <w:rPr>
          <w:lang w:val="nl-BE"/>
        </w:rPr>
        <w:t>préférée</w:t>
      </w:r>
      <w:proofErr w:type="spellEnd"/>
      <w:r w:rsidRPr="004C57F4">
        <w:rPr>
          <w:lang w:val="nl-BE"/>
        </w:rPr>
        <w:t>)</w:t>
      </w:r>
    </w:p>
    <w:p w14:paraId="65B79A3B" w14:textId="77777777" w:rsidR="00CF5679" w:rsidRDefault="00F62764">
      <w:pPr>
        <w:pStyle w:val="BodyText"/>
        <w:numPr>
          <w:ilvl w:val="0"/>
          <w:numId w:val="44"/>
        </w:numPr>
        <w:rPr>
          <w:lang w:val="nl-BE"/>
        </w:rPr>
      </w:pPr>
      <w:r w:rsidRPr="004C57F4">
        <w:rPr>
          <w:lang w:val="nl-BE"/>
        </w:rPr>
        <w:t xml:space="preserve">WPA + TKIP (non </w:t>
      </w:r>
      <w:proofErr w:type="spellStart"/>
      <w:r w:rsidRPr="004C57F4">
        <w:rPr>
          <w:lang w:val="nl-BE"/>
        </w:rPr>
        <w:t>préférée</w:t>
      </w:r>
      <w:proofErr w:type="spellEnd"/>
      <w:r w:rsidRPr="004C57F4">
        <w:rPr>
          <w:lang w:val="nl-BE"/>
        </w:rPr>
        <w:t>)</w:t>
      </w:r>
    </w:p>
    <w:p w14:paraId="4FA4A4C5" w14:textId="77777777" w:rsidR="00CF5679" w:rsidRDefault="00F62764">
      <w:pPr>
        <w:pStyle w:val="BodyText"/>
        <w:numPr>
          <w:ilvl w:val="0"/>
          <w:numId w:val="44"/>
        </w:numPr>
        <w:rPr>
          <w:lang w:val="nl-BE"/>
        </w:rPr>
      </w:pPr>
      <w:r w:rsidRPr="004C57F4">
        <w:rPr>
          <w:lang w:val="nl-BE"/>
        </w:rPr>
        <w:t xml:space="preserve">WEP (ne </w:t>
      </w:r>
      <w:proofErr w:type="spellStart"/>
      <w:r w:rsidRPr="004C57F4">
        <w:rPr>
          <w:lang w:val="nl-BE"/>
        </w:rPr>
        <w:t>jamais</w:t>
      </w:r>
      <w:proofErr w:type="spellEnd"/>
      <w:r w:rsidRPr="004C57F4">
        <w:rPr>
          <w:lang w:val="nl-BE"/>
        </w:rPr>
        <w:t xml:space="preserve"> </w:t>
      </w:r>
      <w:proofErr w:type="spellStart"/>
      <w:r w:rsidRPr="004C57F4">
        <w:rPr>
          <w:lang w:val="nl-BE"/>
        </w:rPr>
        <w:t>utiliser</w:t>
      </w:r>
      <w:proofErr w:type="spellEnd"/>
      <w:r w:rsidRPr="004C57F4">
        <w:rPr>
          <w:lang w:val="nl-BE"/>
        </w:rPr>
        <w:t>)</w:t>
      </w:r>
    </w:p>
    <w:p w14:paraId="7A520383" w14:textId="77777777" w:rsidR="00CF5679" w:rsidRDefault="00F62764">
      <w:pPr>
        <w:pStyle w:val="BodyText"/>
        <w:numPr>
          <w:ilvl w:val="0"/>
          <w:numId w:val="44"/>
        </w:numPr>
        <w:rPr>
          <w:lang w:val="nl-BE"/>
        </w:rPr>
      </w:pPr>
      <w:proofErr w:type="spellStart"/>
      <w:r w:rsidRPr="004C57F4">
        <w:rPr>
          <w:lang w:val="nl-BE"/>
        </w:rPr>
        <w:t>Réseau</w:t>
      </w:r>
      <w:proofErr w:type="spellEnd"/>
      <w:r w:rsidRPr="004C57F4">
        <w:rPr>
          <w:lang w:val="nl-BE"/>
        </w:rPr>
        <w:t xml:space="preserve"> </w:t>
      </w:r>
      <w:proofErr w:type="spellStart"/>
      <w:r w:rsidRPr="004C57F4">
        <w:rPr>
          <w:lang w:val="nl-BE"/>
        </w:rPr>
        <w:t>ouvert</w:t>
      </w:r>
      <w:proofErr w:type="spellEnd"/>
      <w:r w:rsidRPr="004C57F4">
        <w:rPr>
          <w:lang w:val="nl-BE"/>
        </w:rPr>
        <w:t xml:space="preserve"> (</w:t>
      </w:r>
      <w:proofErr w:type="spellStart"/>
      <w:r w:rsidRPr="004C57F4">
        <w:rPr>
          <w:lang w:val="nl-BE"/>
        </w:rPr>
        <w:t>jamais</w:t>
      </w:r>
      <w:proofErr w:type="spellEnd"/>
      <w:r w:rsidRPr="004C57F4">
        <w:rPr>
          <w:lang w:val="nl-BE"/>
        </w:rPr>
        <w:t xml:space="preserve"> </w:t>
      </w:r>
      <w:proofErr w:type="spellStart"/>
      <w:r w:rsidRPr="004C57F4">
        <w:rPr>
          <w:lang w:val="nl-BE"/>
        </w:rPr>
        <w:t>utilisé</w:t>
      </w:r>
      <w:proofErr w:type="spellEnd"/>
      <w:r w:rsidRPr="004C57F4">
        <w:rPr>
          <w:lang w:val="nl-BE"/>
        </w:rPr>
        <w:t>)</w:t>
      </w:r>
    </w:p>
    <w:p w14:paraId="2D3BDAEA" w14:textId="77777777" w:rsidR="00F62764" w:rsidRDefault="00F62764">
      <w:pPr>
        <w:pStyle w:val="BodyText"/>
        <w:rPr>
          <w:lang w:val="fr-BE"/>
        </w:rPr>
      </w:pPr>
      <w:r w:rsidRPr="003A2408">
        <w:rPr>
          <w:lang w:val="fr-BE"/>
        </w:rPr>
        <w:t>L'accès des utilisateurs doit être vérifié. Pour l'authentification des réseaux WIFI, il est préférable de disposer d'une base de données centrale d'utilisateurs par nom. La plupart des points d'accès WIFI des entreprises prennent en charge les protocoles LDAP ou RADIUS.</w:t>
      </w:r>
    </w:p>
    <w:p w14:paraId="375DB2A6" w14:textId="6F8DC7EE" w:rsidR="00CF5679" w:rsidRPr="003A2408" w:rsidRDefault="00F62764">
      <w:pPr>
        <w:pStyle w:val="BodyText"/>
        <w:rPr>
          <w:lang w:val="fr-BE"/>
        </w:rPr>
      </w:pPr>
      <w:r w:rsidRPr="003A2408">
        <w:rPr>
          <w:lang w:val="fr-BE"/>
        </w:rPr>
        <w:br/>
        <w:t xml:space="preserve">Les appareils non gérés ne doivent accéder qu'aux </w:t>
      </w:r>
      <w:r w:rsidRPr="003A2408">
        <w:rPr>
          <w:b/>
          <w:bCs/>
          <w:color w:val="00B0F0"/>
          <w:lang w:val="fr-BE"/>
        </w:rPr>
        <w:t xml:space="preserve">[réseaux WIFI dédiés aux invités]. </w:t>
      </w:r>
      <w:r w:rsidRPr="003A2408">
        <w:rPr>
          <w:lang w:val="fr-BE"/>
        </w:rPr>
        <w:t xml:space="preserve">Il convient d'empêcher le trafic réseau entre les réseaux invités et ceux gérés par </w:t>
      </w:r>
      <w:r w:rsidRPr="003A2408">
        <w:rPr>
          <w:b/>
          <w:bCs/>
          <w:color w:val="00B0F0"/>
          <w:lang w:val="fr-BE"/>
        </w:rPr>
        <w:t>[l'organisation].</w:t>
      </w:r>
    </w:p>
    <w:p w14:paraId="6C73E45F" w14:textId="77777777" w:rsidR="004C57F4" w:rsidRPr="003A2408" w:rsidRDefault="004C57F4" w:rsidP="004C57F4">
      <w:pPr>
        <w:pStyle w:val="BodyText"/>
        <w:rPr>
          <w:lang w:val="fr-BE"/>
        </w:rPr>
      </w:pPr>
    </w:p>
    <w:p w14:paraId="50A055BA" w14:textId="3205A9C5" w:rsidR="004C57F4" w:rsidRPr="003A2408" w:rsidRDefault="004C57F4">
      <w:pPr>
        <w:widowControl/>
        <w:autoSpaceDE/>
        <w:autoSpaceDN/>
        <w:rPr>
          <w:rFonts w:ascii="Arial" w:hAnsi="Arial"/>
          <w:color w:val="757F85" w:themeColor="accent6"/>
          <w:sz w:val="18"/>
          <w:lang w:val="fr-BE"/>
        </w:rPr>
      </w:pPr>
      <w:r w:rsidRPr="003A2408">
        <w:rPr>
          <w:lang w:val="fr-BE"/>
        </w:rPr>
        <w:br w:type="page"/>
      </w:r>
    </w:p>
    <w:p w14:paraId="209B601A" w14:textId="77777777" w:rsidR="00CF5679" w:rsidRDefault="00F62764">
      <w:pPr>
        <w:pStyle w:val="Heading1"/>
        <w:rPr>
          <w:lang w:val="nl-BE"/>
        </w:rPr>
      </w:pPr>
      <w:proofErr w:type="spellStart"/>
      <w:r w:rsidRPr="00606649">
        <w:rPr>
          <w:lang w:val="nl-BE"/>
        </w:rPr>
        <w:lastRenderedPageBreak/>
        <w:t>Gestion</w:t>
      </w:r>
      <w:proofErr w:type="spellEnd"/>
      <w:r w:rsidRPr="00606649">
        <w:rPr>
          <w:lang w:val="nl-BE"/>
        </w:rPr>
        <w:t xml:space="preserve"> du </w:t>
      </w:r>
      <w:proofErr w:type="spellStart"/>
      <w:r w:rsidRPr="00606649">
        <w:rPr>
          <w:lang w:val="nl-BE"/>
        </w:rPr>
        <w:t>réseau</w:t>
      </w:r>
      <w:proofErr w:type="spellEnd"/>
    </w:p>
    <w:p w14:paraId="03C2781A" w14:textId="77777777" w:rsidR="00CF5679" w:rsidRDefault="00F62764">
      <w:pPr>
        <w:pStyle w:val="BodyText"/>
        <w:numPr>
          <w:ilvl w:val="0"/>
          <w:numId w:val="45"/>
        </w:numPr>
        <w:rPr>
          <w:lang w:val="nl-BE"/>
        </w:rPr>
      </w:pPr>
      <w:r w:rsidRPr="003A2408">
        <w:rPr>
          <w:lang w:val="fr-BE"/>
        </w:rPr>
        <w:t xml:space="preserve">Un schéma de réseau de haut niveau est élaboré et stocké (imprimé) en toute sécurité.  Ce schéma comprend la description du matériel et des fonctions, ainsi que l'adressage (IP) nécessaire. </w:t>
      </w:r>
      <w:r w:rsidRPr="00571E00">
        <w:rPr>
          <w:lang w:val="nl-BE"/>
        </w:rPr>
        <w:t xml:space="preserve">Ce schéma </w:t>
      </w:r>
      <w:proofErr w:type="spellStart"/>
      <w:r w:rsidRPr="00571E00">
        <w:rPr>
          <w:lang w:val="nl-BE"/>
        </w:rPr>
        <w:t>est</w:t>
      </w:r>
      <w:proofErr w:type="spellEnd"/>
      <w:r w:rsidRPr="00571E00">
        <w:rPr>
          <w:lang w:val="nl-BE"/>
        </w:rPr>
        <w:t xml:space="preserve"> </w:t>
      </w:r>
      <w:proofErr w:type="spellStart"/>
      <w:r w:rsidRPr="00571E00">
        <w:rPr>
          <w:lang w:val="nl-BE"/>
        </w:rPr>
        <w:t>régulièrement</w:t>
      </w:r>
      <w:proofErr w:type="spellEnd"/>
      <w:r w:rsidRPr="00571E00">
        <w:rPr>
          <w:lang w:val="nl-BE"/>
        </w:rPr>
        <w:t xml:space="preserve"> mis à jour.</w:t>
      </w:r>
    </w:p>
    <w:p w14:paraId="568628D4" w14:textId="77777777" w:rsidR="00CF5679" w:rsidRPr="003A2408" w:rsidRDefault="00F62764">
      <w:pPr>
        <w:pStyle w:val="BodyText"/>
        <w:numPr>
          <w:ilvl w:val="0"/>
          <w:numId w:val="45"/>
        </w:numPr>
        <w:rPr>
          <w:lang w:val="fr-BE"/>
        </w:rPr>
      </w:pPr>
      <w:r w:rsidRPr="003A2408">
        <w:rPr>
          <w:lang w:val="fr-BE"/>
        </w:rPr>
        <w:t xml:space="preserve">Les ports de gestion doivent être réservés au personnel autorisé et ne doivent pas être connectés à l'internet, sauf via un VPN. </w:t>
      </w:r>
    </w:p>
    <w:p w14:paraId="73D92D5F" w14:textId="77777777" w:rsidR="00CF5679" w:rsidRPr="003A2408" w:rsidRDefault="00F62764">
      <w:pPr>
        <w:pStyle w:val="BodyText"/>
        <w:numPr>
          <w:ilvl w:val="0"/>
          <w:numId w:val="45"/>
        </w:numPr>
        <w:rPr>
          <w:lang w:val="fr-BE"/>
        </w:rPr>
      </w:pPr>
      <w:r w:rsidRPr="003A2408">
        <w:rPr>
          <w:lang w:val="fr-BE"/>
        </w:rPr>
        <w:t xml:space="preserve">L'accès des utilisateurs aux ports de gestion doit être contrôlé régulièrement. Il est préférable de disposer d'une base de données centrale d'utilisateurs par nom pour l'authentification de l'accès à la gestion. </w:t>
      </w:r>
    </w:p>
    <w:p w14:paraId="6DAE85FA" w14:textId="77777777" w:rsidR="00CF5679" w:rsidRPr="003A2408" w:rsidRDefault="00F62764">
      <w:pPr>
        <w:pStyle w:val="BodyText"/>
        <w:numPr>
          <w:ilvl w:val="0"/>
          <w:numId w:val="45"/>
        </w:numPr>
        <w:rPr>
          <w:lang w:val="fr-BE"/>
        </w:rPr>
      </w:pPr>
      <w:r w:rsidRPr="003A2408">
        <w:rPr>
          <w:lang w:val="fr-BE"/>
        </w:rPr>
        <w:t xml:space="preserve">L'installation ou la modification de dispositifs de réseau doit être effectuée par ou en consultation avec le service informatique de </w:t>
      </w:r>
      <w:r w:rsidRPr="003A2408">
        <w:rPr>
          <w:b/>
          <w:bCs/>
          <w:color w:val="00B0F0"/>
          <w:lang w:val="fr-BE"/>
        </w:rPr>
        <w:t>[l'organisation].</w:t>
      </w:r>
      <w:r w:rsidRPr="003A2408">
        <w:rPr>
          <w:lang w:val="fr-BE"/>
        </w:rPr>
        <w:t xml:space="preserve">  </w:t>
      </w:r>
    </w:p>
    <w:p w14:paraId="5B56BA62" w14:textId="77777777" w:rsidR="00CF5679" w:rsidRPr="003A2408" w:rsidRDefault="00F62764">
      <w:pPr>
        <w:pStyle w:val="BodyText"/>
        <w:numPr>
          <w:ilvl w:val="0"/>
          <w:numId w:val="45"/>
        </w:numPr>
        <w:rPr>
          <w:lang w:val="fr-BE"/>
        </w:rPr>
      </w:pPr>
      <w:r w:rsidRPr="003A2408">
        <w:rPr>
          <w:lang w:val="fr-BE"/>
        </w:rPr>
        <w:t>Les dispositifs d'infrastructure de réseau sont dotés d'une fonction de journalisation, axée sur la surveillance et le contrôle des flux de trafic à travers les zones du réseau et les différents niveaux de confiance.  Les exemples incluent les événements importants pour l'administrateur tels que la connexion, les changements de système, les réinitialisations de mot de passe...</w:t>
      </w:r>
    </w:p>
    <w:p w14:paraId="29393777" w14:textId="77777777" w:rsidR="00CF5679" w:rsidRPr="003A2408" w:rsidRDefault="00F62764">
      <w:pPr>
        <w:pStyle w:val="BodyText"/>
        <w:numPr>
          <w:ilvl w:val="0"/>
          <w:numId w:val="45"/>
        </w:numPr>
        <w:rPr>
          <w:lang w:val="fr-BE"/>
        </w:rPr>
      </w:pPr>
      <w:r w:rsidRPr="003A2408">
        <w:rPr>
          <w:lang w:val="fr-BE"/>
        </w:rPr>
        <w:t>Pour garantir la disponibilité et la performance des systèmes critiques et confidentiels, il convient d'envisager l'existence d'accords de niveau de service (SLA) pour ces composants du réseau.</w:t>
      </w:r>
    </w:p>
    <w:p w14:paraId="3F29A57F" w14:textId="77777777" w:rsidR="00571E00" w:rsidRPr="003A2408" w:rsidRDefault="00571E00" w:rsidP="00571E00">
      <w:pPr>
        <w:pStyle w:val="BodyText"/>
        <w:rPr>
          <w:lang w:val="fr-BE"/>
        </w:rPr>
      </w:pPr>
    </w:p>
    <w:bookmarkEnd w:id="3"/>
    <w:bookmarkEnd w:id="4"/>
    <w:sectPr w:rsidR="00571E00" w:rsidRPr="003A2408"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7D5B38A3" w14:textId="77777777" w:rsidR="00CF5679" w:rsidRDefault="00F627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149517B4" w14:textId="77777777" w:rsidR="00CF5679" w:rsidRDefault="00F62764">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36BB1FEB" w14:textId="77777777" w:rsidR="00CF5679" w:rsidRDefault="00F62764">
    <w:pPr>
      <w:pStyle w:val="Paragraphestandard"/>
      <w:spacing w:after="124"/>
      <w:ind w:right="701"/>
      <w:jc w:val="right"/>
      <w:rPr>
        <w:rFonts w:ascii="Lato Medium" w:hAnsi="Lato Medium" w:cs="Lato Medium"/>
        <w:color w:val="3B448C"/>
        <w:sz w:val="20"/>
        <w:szCs w:val="20"/>
      </w:rPr>
    </w:pPr>
    <w:r w:rsidRPr="003A2408">
      <w:rPr>
        <w:rFonts w:ascii="Arial" w:hAnsi="Arial" w:cs="Arial"/>
        <w:color w:val="6782B4" w:themeColor="accent2"/>
        <w:sz w:val="20"/>
        <w:szCs w:val="20"/>
        <w:lang w:val="fr-BE"/>
      </w:rPr>
      <w:t xml:space="preserve">Politique de sécurité du réseau </w:t>
    </w:r>
    <w:r w:rsidR="005D03F1" w:rsidRPr="003A2408">
      <w:rPr>
        <w:rFonts w:ascii="Arial" w:hAnsi="Arial" w:cs="Arial"/>
        <w:color w:val="35457F" w:themeColor="text2"/>
        <w:sz w:val="20"/>
        <w:szCs w:val="20"/>
        <w:lang w:val="fr-BE"/>
      </w:rPr>
      <w:t xml:space="preserve">- </w:t>
    </w:r>
    <w:r w:rsidR="00DE6108" w:rsidRPr="00DE6108">
      <w:rPr>
        <w:rFonts w:ascii="Lato Thin" w:hAnsi="Lato Thin" w:cs="Lato Thin"/>
        <w:noProof/>
        <w:color w:val="35457F" w:themeColor="text2"/>
        <w:sz w:val="20"/>
        <w:szCs w:val="20"/>
      </w:rPr>
      <w:t xml:space="preserve">Modèle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1A64" w14:textId="77777777" w:rsidR="00CF5679" w:rsidRDefault="00F62764">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6714" w14:textId="77777777" w:rsidR="00CF5679" w:rsidRDefault="00F62764">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980506"/>
    <w:multiLevelType w:val="hybridMultilevel"/>
    <w:tmpl w:val="D062C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BE3009"/>
    <w:multiLevelType w:val="hybridMultilevel"/>
    <w:tmpl w:val="2CD42C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882176"/>
    <w:multiLevelType w:val="hybridMultilevel"/>
    <w:tmpl w:val="A6D23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9"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4"/>
  </w:num>
  <w:num w:numId="5" w16cid:durableId="993798016">
    <w:abstractNumId w:val="13"/>
  </w:num>
  <w:num w:numId="6" w16cid:durableId="333145513">
    <w:abstractNumId w:val="33"/>
  </w:num>
  <w:num w:numId="7" w16cid:durableId="1912960047">
    <w:abstractNumId w:val="5"/>
  </w:num>
  <w:num w:numId="8" w16cid:durableId="917709478">
    <w:abstractNumId w:val="35"/>
  </w:num>
  <w:num w:numId="9" w16cid:durableId="1732003305">
    <w:abstractNumId w:val="8"/>
  </w:num>
  <w:num w:numId="10" w16cid:durableId="1111168895">
    <w:abstractNumId w:val="24"/>
  </w:num>
  <w:num w:numId="11" w16cid:durableId="345986576">
    <w:abstractNumId w:val="42"/>
  </w:num>
  <w:num w:numId="12" w16cid:durableId="685787629">
    <w:abstractNumId w:val="32"/>
  </w:num>
  <w:num w:numId="13" w16cid:durableId="724836360">
    <w:abstractNumId w:val="4"/>
  </w:num>
  <w:num w:numId="14" w16cid:durableId="46221904">
    <w:abstractNumId w:val="16"/>
  </w:num>
  <w:num w:numId="15" w16cid:durableId="300548602">
    <w:abstractNumId w:val="2"/>
  </w:num>
  <w:num w:numId="16" w16cid:durableId="1251963789">
    <w:abstractNumId w:val="27"/>
  </w:num>
  <w:num w:numId="17" w16cid:durableId="1825774094">
    <w:abstractNumId w:val="19"/>
  </w:num>
  <w:num w:numId="18" w16cid:durableId="1456752724">
    <w:abstractNumId w:val="9"/>
  </w:num>
  <w:num w:numId="19" w16cid:durableId="28384239">
    <w:abstractNumId w:val="26"/>
  </w:num>
  <w:num w:numId="20" w16cid:durableId="1767270444">
    <w:abstractNumId w:val="17"/>
  </w:num>
  <w:num w:numId="21" w16cid:durableId="1870945772">
    <w:abstractNumId w:val="36"/>
  </w:num>
  <w:num w:numId="22" w16cid:durableId="362898937">
    <w:abstractNumId w:val="23"/>
  </w:num>
  <w:num w:numId="23" w16cid:durableId="351340801">
    <w:abstractNumId w:val="12"/>
  </w:num>
  <w:num w:numId="24" w16cid:durableId="1268927857">
    <w:abstractNumId w:val="22"/>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8"/>
  </w:num>
  <w:num w:numId="30" w16cid:durableId="1227450468">
    <w:abstractNumId w:val="6"/>
  </w:num>
  <w:num w:numId="31" w16cid:durableId="949704253">
    <w:abstractNumId w:val="21"/>
  </w:num>
  <w:num w:numId="32" w16cid:durableId="2068797505">
    <w:abstractNumId w:val="41"/>
  </w:num>
  <w:num w:numId="33" w16cid:durableId="1089086482">
    <w:abstractNumId w:val="7"/>
  </w:num>
  <w:num w:numId="34" w16cid:durableId="914165014">
    <w:abstractNumId w:val="25"/>
  </w:num>
  <w:num w:numId="35" w16cid:durableId="245268141">
    <w:abstractNumId w:val="3"/>
  </w:num>
  <w:num w:numId="36" w16cid:durableId="653800277">
    <w:abstractNumId w:val="38"/>
  </w:num>
  <w:num w:numId="37" w16cid:durableId="1937595572">
    <w:abstractNumId w:val="30"/>
  </w:num>
  <w:num w:numId="38" w16cid:durableId="24794664">
    <w:abstractNumId w:val="37"/>
  </w:num>
  <w:num w:numId="39" w16cid:durableId="1458062820">
    <w:abstractNumId w:val="39"/>
  </w:num>
  <w:num w:numId="40" w16cid:durableId="2076857560">
    <w:abstractNumId w:val="18"/>
  </w:num>
  <w:num w:numId="41" w16cid:durableId="1690132939">
    <w:abstractNumId w:val="40"/>
  </w:num>
  <w:num w:numId="42" w16cid:durableId="1838760614">
    <w:abstractNumId w:val="10"/>
  </w:num>
  <w:num w:numId="43" w16cid:durableId="530145008">
    <w:abstractNumId w:val="31"/>
  </w:num>
  <w:num w:numId="44" w16cid:durableId="1171486382">
    <w:abstractNumId w:val="29"/>
  </w:num>
  <w:num w:numId="45" w16cid:durableId="111988210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7F5"/>
    <w:rsid w:val="00062261"/>
    <w:rsid w:val="0006435B"/>
    <w:rsid w:val="00072D80"/>
    <w:rsid w:val="000808D5"/>
    <w:rsid w:val="00096127"/>
    <w:rsid w:val="00096E78"/>
    <w:rsid w:val="00097A7D"/>
    <w:rsid w:val="000A267A"/>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43920"/>
    <w:rsid w:val="0015404C"/>
    <w:rsid w:val="00155EA5"/>
    <w:rsid w:val="0015768E"/>
    <w:rsid w:val="001607A8"/>
    <w:rsid w:val="00165D81"/>
    <w:rsid w:val="0017110A"/>
    <w:rsid w:val="001712DB"/>
    <w:rsid w:val="00175B18"/>
    <w:rsid w:val="00175FDD"/>
    <w:rsid w:val="001808F1"/>
    <w:rsid w:val="00181E37"/>
    <w:rsid w:val="001823BB"/>
    <w:rsid w:val="00182C32"/>
    <w:rsid w:val="00187D51"/>
    <w:rsid w:val="00194F03"/>
    <w:rsid w:val="001956B5"/>
    <w:rsid w:val="00197534"/>
    <w:rsid w:val="001D6A9F"/>
    <w:rsid w:val="001D7E87"/>
    <w:rsid w:val="001E2D3A"/>
    <w:rsid w:val="001E4179"/>
    <w:rsid w:val="00200D6C"/>
    <w:rsid w:val="00214724"/>
    <w:rsid w:val="00221D64"/>
    <w:rsid w:val="0022731C"/>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A041E"/>
    <w:rsid w:val="003A2408"/>
    <w:rsid w:val="003B503B"/>
    <w:rsid w:val="003C6274"/>
    <w:rsid w:val="003C7393"/>
    <w:rsid w:val="003F0C20"/>
    <w:rsid w:val="003F39EF"/>
    <w:rsid w:val="004038CD"/>
    <w:rsid w:val="00406AD2"/>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4DEF"/>
    <w:rsid w:val="004C280D"/>
    <w:rsid w:val="004C57F4"/>
    <w:rsid w:val="004D18D5"/>
    <w:rsid w:val="004E44AC"/>
    <w:rsid w:val="004E6A0C"/>
    <w:rsid w:val="004F1295"/>
    <w:rsid w:val="004F1B86"/>
    <w:rsid w:val="004F2CCD"/>
    <w:rsid w:val="004F6C88"/>
    <w:rsid w:val="004F737C"/>
    <w:rsid w:val="0050024D"/>
    <w:rsid w:val="00500936"/>
    <w:rsid w:val="0050587E"/>
    <w:rsid w:val="00515DF0"/>
    <w:rsid w:val="00527209"/>
    <w:rsid w:val="005276E2"/>
    <w:rsid w:val="00530297"/>
    <w:rsid w:val="00540D5B"/>
    <w:rsid w:val="00543504"/>
    <w:rsid w:val="00554600"/>
    <w:rsid w:val="005555AC"/>
    <w:rsid w:val="00555DDB"/>
    <w:rsid w:val="0057197E"/>
    <w:rsid w:val="00571E00"/>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06649"/>
    <w:rsid w:val="00610383"/>
    <w:rsid w:val="00611603"/>
    <w:rsid w:val="006145A9"/>
    <w:rsid w:val="00615D54"/>
    <w:rsid w:val="006247AE"/>
    <w:rsid w:val="00625704"/>
    <w:rsid w:val="00632383"/>
    <w:rsid w:val="00635785"/>
    <w:rsid w:val="00647217"/>
    <w:rsid w:val="00653B3A"/>
    <w:rsid w:val="0066432F"/>
    <w:rsid w:val="00664DD5"/>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658"/>
    <w:rsid w:val="00826F63"/>
    <w:rsid w:val="008303DE"/>
    <w:rsid w:val="00831748"/>
    <w:rsid w:val="00891C31"/>
    <w:rsid w:val="008A51D1"/>
    <w:rsid w:val="008B579A"/>
    <w:rsid w:val="008C0435"/>
    <w:rsid w:val="008C102F"/>
    <w:rsid w:val="008D4D1C"/>
    <w:rsid w:val="008D7A30"/>
    <w:rsid w:val="008E3ACA"/>
    <w:rsid w:val="008E7E03"/>
    <w:rsid w:val="008F620D"/>
    <w:rsid w:val="008F76CB"/>
    <w:rsid w:val="00910A0F"/>
    <w:rsid w:val="0093075F"/>
    <w:rsid w:val="00932CE6"/>
    <w:rsid w:val="0093668B"/>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646CE"/>
    <w:rsid w:val="00A722BA"/>
    <w:rsid w:val="00A75FDC"/>
    <w:rsid w:val="00A778D1"/>
    <w:rsid w:val="00A85692"/>
    <w:rsid w:val="00A91B8D"/>
    <w:rsid w:val="00A95020"/>
    <w:rsid w:val="00A97D3D"/>
    <w:rsid w:val="00AA0657"/>
    <w:rsid w:val="00AA200D"/>
    <w:rsid w:val="00AA6A0C"/>
    <w:rsid w:val="00AB425F"/>
    <w:rsid w:val="00AB4B41"/>
    <w:rsid w:val="00AC31D6"/>
    <w:rsid w:val="00AC73A7"/>
    <w:rsid w:val="00AE1B89"/>
    <w:rsid w:val="00AE1D60"/>
    <w:rsid w:val="00AE53CA"/>
    <w:rsid w:val="00AE5D93"/>
    <w:rsid w:val="00AE6A8A"/>
    <w:rsid w:val="00AF44D1"/>
    <w:rsid w:val="00B03292"/>
    <w:rsid w:val="00B073D1"/>
    <w:rsid w:val="00B14CEB"/>
    <w:rsid w:val="00B22A47"/>
    <w:rsid w:val="00B326CA"/>
    <w:rsid w:val="00B32D82"/>
    <w:rsid w:val="00B35843"/>
    <w:rsid w:val="00B5167E"/>
    <w:rsid w:val="00B60296"/>
    <w:rsid w:val="00B61B1C"/>
    <w:rsid w:val="00B6244A"/>
    <w:rsid w:val="00B74EFD"/>
    <w:rsid w:val="00B82237"/>
    <w:rsid w:val="00B8608B"/>
    <w:rsid w:val="00B93494"/>
    <w:rsid w:val="00B93B00"/>
    <w:rsid w:val="00B942F2"/>
    <w:rsid w:val="00BA2DBC"/>
    <w:rsid w:val="00BA5CE5"/>
    <w:rsid w:val="00BC23FD"/>
    <w:rsid w:val="00BD3B03"/>
    <w:rsid w:val="00BE23CA"/>
    <w:rsid w:val="00BE2B70"/>
    <w:rsid w:val="00BE7F61"/>
    <w:rsid w:val="00C001A2"/>
    <w:rsid w:val="00C1220A"/>
    <w:rsid w:val="00C20616"/>
    <w:rsid w:val="00C21393"/>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5679"/>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601E"/>
    <w:rsid w:val="00DC206F"/>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67413"/>
    <w:rsid w:val="00E777B9"/>
    <w:rsid w:val="00E8039C"/>
    <w:rsid w:val="00E93983"/>
    <w:rsid w:val="00E93A30"/>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2764"/>
    <w:rsid w:val="00F63460"/>
    <w:rsid w:val="00F7052D"/>
    <w:rsid w:val="00F8611D"/>
    <w:rsid w:val="00F864FB"/>
    <w:rsid w:val="00F91B64"/>
    <w:rsid w:val="00F92BD4"/>
    <w:rsid w:val="00FA2C99"/>
    <w:rsid w:val="00FA3F3A"/>
    <w:rsid w:val="00FA50FE"/>
    <w:rsid w:val="00FB59ED"/>
    <w:rsid w:val="00FB730C"/>
    <w:rsid w:val="00FB7338"/>
    <w:rsid w:val="00FC1E35"/>
    <w:rsid w:val="00FC2B5B"/>
    <w:rsid w:val="00FD2E25"/>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3E3DD7F3-7AAA-4323-ABF0-96A9E6DBF89D}">
  <ds:schemaRefs>
    <ds:schemaRef ds:uri="48df5784-83fe-46ae-8d25-fce6a602c372"/>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8144E1FE-1B68-49BB-B48A-6DCB5F1D6D3E}"/>
</file>

<file path=customXml/itemProps4.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898</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docId:6AE3A8BB8D0108657482996639E7D13D</cp:keywords>
  <dc:description/>
  <cp:lastModifiedBy>Jean Kervyn de Meerendré</cp:lastModifiedBy>
  <cp:revision>59</cp:revision>
  <dcterms:created xsi:type="dcterms:W3CDTF">2024-01-25T14:53:00Z</dcterms:created>
  <dcterms:modified xsi:type="dcterms:W3CDTF">2024-03-06T16:34:00Z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